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7B835" w14:textId="4C3E0015" w:rsidR="00A444C4" w:rsidRDefault="00E153A9" w:rsidP="00E15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503">
        <w:rPr>
          <w:rFonts w:ascii="Times New Roman" w:hAnsi="Times New Roman" w:cs="Times New Roman"/>
          <w:b/>
          <w:bCs/>
          <w:sz w:val="24"/>
          <w:szCs w:val="24"/>
        </w:rPr>
        <w:t>ILUMINAR COM A LUZ DA PALAVRA</w:t>
      </w:r>
    </w:p>
    <w:p w14:paraId="01961281" w14:textId="77777777" w:rsidR="007B1503" w:rsidRPr="007B1503" w:rsidRDefault="007B1503" w:rsidP="00E15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5F2D8" w14:textId="263A43FB" w:rsidR="00E153A9" w:rsidRPr="009939A5" w:rsidRDefault="00E153A9" w:rsidP="00E153A9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 xml:space="preserve">A campanha da Fraternidade 2023 nos convida a um olhar sobre o fenômeno da fome no Brasil. A questão é: com que olhar olharemos? – respondemos: com o olhar da comunidade de fé. O olhar é sobretudo um olhar da fé, sob um parâmetro fundamental, que no caso é a Palavra de Deus, </w:t>
      </w:r>
      <w:r w:rsidR="007B1503">
        <w:rPr>
          <w:rFonts w:ascii="Times New Roman" w:hAnsi="Times New Roman" w:cs="Times New Roman"/>
          <w:sz w:val="24"/>
          <w:szCs w:val="24"/>
        </w:rPr>
        <w:t>pois</w:t>
      </w:r>
      <w:r w:rsidRPr="009939A5">
        <w:rPr>
          <w:rFonts w:ascii="Times New Roman" w:hAnsi="Times New Roman" w:cs="Times New Roman"/>
          <w:sz w:val="24"/>
          <w:szCs w:val="24"/>
        </w:rPr>
        <w:t xml:space="preserve"> ao lado das ciências sociais e estatísticas vão nos ajudar a entender o desastroso fenômeno da fome em suas causas, realidades e consequências. Ao fim, a pergunta dos que creem é: como o fenômeno da fome implica em minha vida de fé? – aqui, a título introdutório, recordamos que em 2002, por meio do Documento 69, a CNBB nos convocou para viver as “exigências evangélicas e ética</w:t>
      </w:r>
      <w:r w:rsidR="001B6758" w:rsidRPr="009939A5">
        <w:rPr>
          <w:rFonts w:ascii="Times New Roman" w:hAnsi="Times New Roman" w:cs="Times New Roman"/>
          <w:sz w:val="24"/>
          <w:szCs w:val="24"/>
        </w:rPr>
        <w:t>s</w:t>
      </w:r>
      <w:r w:rsidRPr="009939A5">
        <w:rPr>
          <w:rFonts w:ascii="Times New Roman" w:hAnsi="Times New Roman" w:cs="Times New Roman"/>
          <w:sz w:val="24"/>
          <w:szCs w:val="24"/>
        </w:rPr>
        <w:t xml:space="preserve"> de superação da miséria e da fome”, e agora, em 2023, a título de Campanha da Fraternidade voltamos a visitar o tema da fome, e por consequência, voltamos ao Evangelho, à Palavra de Deus para nos iluminar na superação desse grave problema </w:t>
      </w:r>
      <w:r w:rsidR="007B1503">
        <w:rPr>
          <w:rFonts w:ascii="Times New Roman" w:hAnsi="Times New Roman" w:cs="Times New Roman"/>
          <w:sz w:val="24"/>
          <w:szCs w:val="24"/>
        </w:rPr>
        <w:t xml:space="preserve">de </w:t>
      </w:r>
      <w:r w:rsidRPr="009939A5">
        <w:rPr>
          <w:rFonts w:ascii="Times New Roman" w:hAnsi="Times New Roman" w:cs="Times New Roman"/>
          <w:sz w:val="24"/>
          <w:szCs w:val="24"/>
        </w:rPr>
        <w:t xml:space="preserve">fé e problema ético. </w:t>
      </w:r>
    </w:p>
    <w:p w14:paraId="655D456D" w14:textId="75EE3B23" w:rsidR="001B6758" w:rsidRPr="009939A5" w:rsidRDefault="001B6758" w:rsidP="00E153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A5">
        <w:rPr>
          <w:rFonts w:ascii="Times New Roman" w:hAnsi="Times New Roman" w:cs="Times New Roman"/>
          <w:b/>
          <w:bCs/>
          <w:sz w:val="24"/>
          <w:szCs w:val="24"/>
        </w:rPr>
        <w:t xml:space="preserve">Exigências Evangélicas de superação da miséria e da fome. </w:t>
      </w:r>
    </w:p>
    <w:p w14:paraId="4C39B874" w14:textId="6EE93EC0" w:rsidR="001B6758" w:rsidRPr="009939A5" w:rsidRDefault="001B6758" w:rsidP="00E153A9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>A nosso ver é importante voltar a esse pequeno Documento em virtude do olhar que ele desenvolve sobre o fenômeno da miséria e da fome. Este Documento levant</w:t>
      </w:r>
      <w:r w:rsidR="00A874D4" w:rsidRPr="009939A5">
        <w:rPr>
          <w:rFonts w:ascii="Times New Roman" w:hAnsi="Times New Roman" w:cs="Times New Roman"/>
          <w:sz w:val="24"/>
          <w:szCs w:val="24"/>
        </w:rPr>
        <w:t>a</w:t>
      </w:r>
      <w:r w:rsidRPr="009939A5">
        <w:rPr>
          <w:rFonts w:ascii="Times New Roman" w:hAnsi="Times New Roman" w:cs="Times New Roman"/>
          <w:sz w:val="24"/>
          <w:szCs w:val="24"/>
        </w:rPr>
        <w:t xml:space="preserve"> os dados </w:t>
      </w:r>
      <w:r w:rsidR="00A874D4" w:rsidRPr="009939A5">
        <w:rPr>
          <w:rFonts w:ascii="Times New Roman" w:hAnsi="Times New Roman" w:cs="Times New Roman"/>
          <w:sz w:val="24"/>
          <w:szCs w:val="24"/>
        </w:rPr>
        <w:t>d</w:t>
      </w:r>
      <w:r w:rsidRPr="009939A5">
        <w:rPr>
          <w:rFonts w:ascii="Times New Roman" w:hAnsi="Times New Roman" w:cs="Times New Roman"/>
          <w:sz w:val="24"/>
          <w:szCs w:val="24"/>
        </w:rPr>
        <w:t xml:space="preserve">a época (2002) e frente ao fenômeno, propõe a Palavra como fonte de juízo para os cristãos, isto é, iluminados pela Palavra somos instigados a </w:t>
      </w:r>
      <w:r w:rsidR="00A874D4" w:rsidRPr="009939A5">
        <w:rPr>
          <w:rFonts w:ascii="Times New Roman" w:hAnsi="Times New Roman" w:cs="Times New Roman"/>
          <w:sz w:val="24"/>
          <w:szCs w:val="24"/>
        </w:rPr>
        <w:t xml:space="preserve">nos posicionarmos como crentes frente a miséria e a fome. O segundo capítulo é intitulado: Exigências Evangélicas. Vejamos alguns elementos dessas exigências éticas. </w:t>
      </w:r>
    </w:p>
    <w:p w14:paraId="05193DDF" w14:textId="2F349E82" w:rsidR="00A874D4" w:rsidRPr="009939A5" w:rsidRDefault="00A874D4" w:rsidP="00A874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 xml:space="preserve">A palavra </w:t>
      </w:r>
      <w:r w:rsidRPr="009939A5">
        <w:rPr>
          <w:rFonts w:ascii="Times New Roman" w:hAnsi="Times New Roman" w:cs="Times New Roman"/>
          <w:b/>
          <w:bCs/>
          <w:sz w:val="24"/>
          <w:szCs w:val="24"/>
        </w:rPr>
        <w:t xml:space="preserve">exigência </w:t>
      </w:r>
      <w:r w:rsidRPr="009939A5">
        <w:rPr>
          <w:rFonts w:ascii="Times New Roman" w:hAnsi="Times New Roman" w:cs="Times New Roman"/>
          <w:sz w:val="24"/>
          <w:szCs w:val="24"/>
        </w:rPr>
        <w:t xml:space="preserve">já denota uma natureza </w:t>
      </w:r>
      <w:r w:rsidR="007B1503">
        <w:rPr>
          <w:rFonts w:ascii="Times New Roman" w:hAnsi="Times New Roman" w:cs="Times New Roman"/>
          <w:sz w:val="24"/>
          <w:szCs w:val="24"/>
        </w:rPr>
        <w:t xml:space="preserve">da </w:t>
      </w:r>
      <w:r w:rsidRPr="009939A5">
        <w:rPr>
          <w:rFonts w:ascii="Times New Roman" w:hAnsi="Times New Roman" w:cs="Times New Roman"/>
          <w:sz w:val="24"/>
          <w:szCs w:val="24"/>
        </w:rPr>
        <w:t>indispensabilidade, isto é, aquilo que é exigência é o que se impõe e compõe, não se tratando de algo dispensável, salvo no caso de uma descaracterização da “natureza”; e aqui evocamos a segunda palavra “Eva</w:t>
      </w:r>
      <w:r w:rsidR="00210A3C" w:rsidRPr="009939A5">
        <w:rPr>
          <w:rFonts w:ascii="Times New Roman" w:hAnsi="Times New Roman" w:cs="Times New Roman"/>
          <w:sz w:val="24"/>
          <w:szCs w:val="24"/>
        </w:rPr>
        <w:t>n</w:t>
      </w:r>
      <w:r w:rsidRPr="009939A5">
        <w:rPr>
          <w:rFonts w:ascii="Times New Roman" w:hAnsi="Times New Roman" w:cs="Times New Roman"/>
          <w:sz w:val="24"/>
          <w:szCs w:val="24"/>
        </w:rPr>
        <w:t xml:space="preserve">gélicas”, </w:t>
      </w:r>
      <w:r w:rsidR="007B1503">
        <w:rPr>
          <w:rFonts w:ascii="Times New Roman" w:hAnsi="Times New Roman" w:cs="Times New Roman"/>
          <w:sz w:val="24"/>
          <w:szCs w:val="24"/>
        </w:rPr>
        <w:t xml:space="preserve">essa </w:t>
      </w:r>
      <w:r w:rsidRPr="009939A5">
        <w:rPr>
          <w:rFonts w:ascii="Times New Roman" w:hAnsi="Times New Roman" w:cs="Times New Roman"/>
          <w:sz w:val="24"/>
          <w:szCs w:val="24"/>
        </w:rPr>
        <w:t xml:space="preserve">palavra desdobra-se de </w:t>
      </w:r>
      <w:r w:rsidRPr="009939A5">
        <w:rPr>
          <w:rFonts w:ascii="Times New Roman" w:hAnsi="Times New Roman" w:cs="Times New Roman"/>
          <w:i/>
          <w:iCs/>
          <w:sz w:val="24"/>
          <w:szCs w:val="24"/>
        </w:rPr>
        <w:t>Evangelho</w:t>
      </w:r>
      <w:r w:rsidRPr="009939A5">
        <w:rPr>
          <w:rFonts w:ascii="Times New Roman" w:hAnsi="Times New Roman" w:cs="Times New Roman"/>
          <w:sz w:val="24"/>
          <w:szCs w:val="24"/>
        </w:rPr>
        <w:t>, boa nova, boa notícia, elemento fundante e fundamental da identidade Cristã. Essa palavra se refere a pregação de Jesus e da comunidade primitiva, perpetua</w:t>
      </w:r>
      <w:r w:rsidR="00210A3C" w:rsidRPr="009939A5">
        <w:rPr>
          <w:rFonts w:ascii="Times New Roman" w:hAnsi="Times New Roman" w:cs="Times New Roman"/>
          <w:sz w:val="24"/>
          <w:szCs w:val="24"/>
        </w:rPr>
        <w:t>ndo-se</w:t>
      </w:r>
      <w:r w:rsidRPr="009939A5">
        <w:rPr>
          <w:rFonts w:ascii="Times New Roman" w:hAnsi="Times New Roman" w:cs="Times New Roman"/>
          <w:sz w:val="24"/>
          <w:szCs w:val="24"/>
        </w:rPr>
        <w:t xml:space="preserve"> como a própria identidade de Jesus e </w:t>
      </w:r>
      <w:r w:rsidR="00210A3C" w:rsidRPr="009939A5">
        <w:rPr>
          <w:rFonts w:ascii="Times New Roman" w:hAnsi="Times New Roman" w:cs="Times New Roman"/>
          <w:sz w:val="24"/>
          <w:szCs w:val="24"/>
        </w:rPr>
        <w:t xml:space="preserve">o conteúdo por excelência do anúncio dos crentes. Ou seja, Evangelho é Jesus mesmo e o centro da vida cristã. Ao associar a superação da fome </w:t>
      </w:r>
      <w:r w:rsidR="007B1503">
        <w:rPr>
          <w:rFonts w:ascii="Times New Roman" w:hAnsi="Times New Roman" w:cs="Times New Roman"/>
          <w:sz w:val="24"/>
          <w:szCs w:val="24"/>
        </w:rPr>
        <w:t xml:space="preserve">e </w:t>
      </w:r>
      <w:r w:rsidR="00210A3C" w:rsidRPr="009939A5">
        <w:rPr>
          <w:rFonts w:ascii="Times New Roman" w:hAnsi="Times New Roman" w:cs="Times New Roman"/>
          <w:sz w:val="24"/>
          <w:szCs w:val="24"/>
        </w:rPr>
        <w:t xml:space="preserve">da miséria como exigências evangélicas, o Documento acentua que Jesus em seu Evangelho tem como elemento constitutivo a superação </w:t>
      </w:r>
      <w:r w:rsidR="007B1503">
        <w:rPr>
          <w:rFonts w:ascii="Times New Roman" w:hAnsi="Times New Roman" w:cs="Times New Roman"/>
          <w:sz w:val="24"/>
          <w:szCs w:val="24"/>
        </w:rPr>
        <w:t>desses males</w:t>
      </w:r>
      <w:r w:rsidR="00210A3C" w:rsidRPr="009939A5">
        <w:rPr>
          <w:rFonts w:ascii="Times New Roman" w:hAnsi="Times New Roman" w:cs="Times New Roman"/>
          <w:sz w:val="24"/>
          <w:szCs w:val="24"/>
        </w:rPr>
        <w:t>. Combater a fome e suas dolorosas consequências não é acidental, mas essencial ao que crê</w:t>
      </w:r>
      <w:r w:rsidR="007B1503">
        <w:rPr>
          <w:rFonts w:ascii="Times New Roman" w:hAnsi="Times New Roman" w:cs="Times New Roman"/>
          <w:sz w:val="24"/>
          <w:szCs w:val="24"/>
        </w:rPr>
        <w:t xml:space="preserve"> em Cristo</w:t>
      </w:r>
      <w:r w:rsidR="00210A3C" w:rsidRPr="009939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976C7" w14:textId="1EBB2891" w:rsidR="00C8403D" w:rsidRPr="009939A5" w:rsidRDefault="00C8403D" w:rsidP="00A874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 xml:space="preserve">Para demonstrar as exigências evangélicas da superação da miséria e da fome, o Documento recorre à imagem de Deus criador e como ele “garante a fartura e a fecundidade e os meios para que todos possam vier e desenvolver seus talentos” (Doc. 69, n. 23); ao lado da espiritualidade da criação o texto evoca a tradição profética e a tradição sapiencial, pontuando que “os profetas acentuam a inseparável ligação do culto a Deus e a prática da justiça, na defesa dos direitos dos oprimidos, no sustento dos pobres e no compromisso com a causa da viúva (Is 1,17; Jr 7,3-7)” (Doc. 69, n. 24). Quanto a tradição sapiencial o Documento </w:t>
      </w:r>
      <w:r w:rsidR="00FE2AB0" w:rsidRPr="009939A5">
        <w:rPr>
          <w:rFonts w:ascii="Times New Roman" w:hAnsi="Times New Roman" w:cs="Times New Roman"/>
          <w:sz w:val="24"/>
          <w:szCs w:val="24"/>
        </w:rPr>
        <w:t>cita o livro de Eclesiástico, que reflete</w:t>
      </w:r>
      <w:r w:rsidR="00CF6E9E">
        <w:rPr>
          <w:rFonts w:ascii="Times New Roman" w:hAnsi="Times New Roman" w:cs="Times New Roman"/>
          <w:sz w:val="24"/>
          <w:szCs w:val="24"/>
        </w:rPr>
        <w:t xml:space="preserve"> a</w:t>
      </w:r>
      <w:r w:rsidR="00FE2AB0" w:rsidRPr="009939A5">
        <w:rPr>
          <w:rFonts w:ascii="Times New Roman" w:hAnsi="Times New Roman" w:cs="Times New Roman"/>
          <w:sz w:val="24"/>
          <w:szCs w:val="24"/>
        </w:rPr>
        <w:t xml:space="preserve"> uma instrução deuteronomista, “quem oferece um sacrifício com os bens dos pobres é como quem imola um filho na presença do pai. A vida dos pobres é o pão de que necessitam; quem dele os priva é um assassino. Quem subtrai o pão do suor, é como quem mata o seu próximo; derrama sangue quem defrauda o assalariado” (Eclo 34,20-22; cf. Dt 24,14-15). </w:t>
      </w:r>
      <w:r w:rsidRPr="009939A5">
        <w:rPr>
          <w:rFonts w:ascii="Times New Roman" w:hAnsi="Times New Roman" w:cs="Times New Roman"/>
          <w:sz w:val="24"/>
          <w:szCs w:val="24"/>
        </w:rPr>
        <w:t xml:space="preserve"> </w:t>
      </w:r>
      <w:r w:rsidR="00FE2AB0" w:rsidRPr="009939A5">
        <w:rPr>
          <w:rFonts w:ascii="Times New Roman" w:hAnsi="Times New Roman" w:cs="Times New Roman"/>
          <w:sz w:val="24"/>
          <w:szCs w:val="24"/>
        </w:rPr>
        <w:t xml:space="preserve">Com isso, a contribuição do Antigo Testamento expõe que a causa do pobre está no centro da Lei de Israel, que é Lei de Deus, implicando diretamente na vida dos crentes. </w:t>
      </w:r>
    </w:p>
    <w:p w14:paraId="2238BDCC" w14:textId="41F09A6B" w:rsidR="005C76FF" w:rsidRPr="009939A5" w:rsidRDefault="005C76FF" w:rsidP="00A874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lastRenderedPageBreak/>
        <w:t>Ao olhar o Novo Testamento, o Documento afirma que “Jesus de Nazaré, Filho de Deus e Nosso Salvador, resgata e ultrapassa a tradição do se</w:t>
      </w:r>
      <w:r w:rsidR="00CF6E9E">
        <w:rPr>
          <w:rFonts w:ascii="Times New Roman" w:hAnsi="Times New Roman" w:cs="Times New Roman"/>
          <w:sz w:val="24"/>
          <w:szCs w:val="24"/>
        </w:rPr>
        <w:t>u</w:t>
      </w:r>
      <w:r w:rsidRPr="009939A5">
        <w:rPr>
          <w:rFonts w:ascii="Times New Roman" w:hAnsi="Times New Roman" w:cs="Times New Roman"/>
          <w:sz w:val="24"/>
          <w:szCs w:val="24"/>
        </w:rPr>
        <w:t xml:space="preserve"> povo e se revela como o Pão que sacia toda a fome de vida” (Doc. 69, n. 26), e segue, “sua ação salvífica e sua morte redentora o revelam como mestre da compaixão e da misericórdia” (Doc. 69, n. 26). Portanto, a vida de Jesus se mostra o modelo normativo, carismático e religioso para a superação da miséria e da fome, sua compaixão e misericórdia desdobram-se em solidariedade e justiça (Mt 9,35-36; Mt 5,1-12; Lc 10,25-37; Mt 25,31-46). Diz o texto, “as primeiras comunidades aprenderam a lição do Senhor e viviam a comunhão fraterna e o gesto de quem partilha as primícias e não as sobras. Assim, não havia necessitados entres eles” (Doc. 69, n. 30). Além disso, “partilhar com o outro o seu sofrimento, a exemplo de Jesus, não é dar coisas, mas dar-se. É colocar-se a serviço, gastar tempo, estar ao lado de quem sofre. É ceder as próprias forças” (Doc. 69, n. 31). Enfim, o modelo de Jesus, Bom Pastor, que dá a vida, é normativo para a comunidade dos </w:t>
      </w:r>
      <w:r w:rsidR="00CF6E9E">
        <w:rPr>
          <w:rFonts w:ascii="Times New Roman" w:hAnsi="Times New Roman" w:cs="Times New Roman"/>
          <w:sz w:val="24"/>
          <w:szCs w:val="24"/>
        </w:rPr>
        <w:t xml:space="preserve">que </w:t>
      </w:r>
      <w:r w:rsidRPr="009939A5">
        <w:rPr>
          <w:rFonts w:ascii="Times New Roman" w:hAnsi="Times New Roman" w:cs="Times New Roman"/>
          <w:sz w:val="24"/>
          <w:szCs w:val="24"/>
        </w:rPr>
        <w:t xml:space="preserve">nEle creem </w:t>
      </w:r>
      <w:r w:rsidR="007322CB" w:rsidRPr="009939A5">
        <w:rPr>
          <w:rFonts w:ascii="Times New Roman" w:hAnsi="Times New Roman" w:cs="Times New Roman"/>
          <w:sz w:val="24"/>
          <w:szCs w:val="24"/>
        </w:rPr>
        <w:t>e nEle têm vida, para deste modo serem operadores contra a miséria e a fome; com isso</w:t>
      </w:r>
      <w:r w:rsidR="00CF6E9E">
        <w:rPr>
          <w:rFonts w:ascii="Times New Roman" w:hAnsi="Times New Roman" w:cs="Times New Roman"/>
          <w:sz w:val="24"/>
          <w:szCs w:val="24"/>
        </w:rPr>
        <w:t>,</w:t>
      </w:r>
      <w:r w:rsidR="007322CB" w:rsidRPr="009939A5">
        <w:rPr>
          <w:rFonts w:ascii="Times New Roman" w:hAnsi="Times New Roman" w:cs="Times New Roman"/>
          <w:sz w:val="24"/>
          <w:szCs w:val="24"/>
        </w:rPr>
        <w:t xml:space="preserve"> o Documento reconhece e evidencia a relação direta desta causa e a vida daqueles que professam a fé cristã. </w:t>
      </w:r>
    </w:p>
    <w:p w14:paraId="61B27044" w14:textId="3EDBD8B1" w:rsidR="00FE2AB0" w:rsidRPr="009939A5" w:rsidRDefault="00AF26E8" w:rsidP="00AF26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A5">
        <w:rPr>
          <w:rFonts w:ascii="Times New Roman" w:hAnsi="Times New Roman" w:cs="Times New Roman"/>
          <w:b/>
          <w:bCs/>
          <w:sz w:val="24"/>
          <w:szCs w:val="24"/>
        </w:rPr>
        <w:t>Dai-lhes vós mesmos de comer (Mt 14,16)</w:t>
      </w:r>
    </w:p>
    <w:p w14:paraId="0579ED25" w14:textId="00460F63" w:rsidR="00AF26E8" w:rsidRPr="009939A5" w:rsidRDefault="00AF26E8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 xml:space="preserve">Sob o lema de Mt 14,16, a Campanha da Fraternidade de 2023 atrai o olhar da sociedade brasileira e, especialmente, dos cristãos católicos para o doloroso fenômeno da fome. Há uma particularidade no contexto atual que se difere profundamente em relação a 2002: em 2023 há, por meio das mídias digitais, a proliferação de desinformações, por mentiras ou divulgação de dados falseados, onde uma parte é verdade, outra é omitida ou mesclada com dados oficiosos; isso leva a uma crescente confusão no processo de entendimento, contudo, há que se considerar que um olhar ingênuo no entorno dos semáforos, nas portas das igrejas e nas ruas já desmontaria a aceitação das fake news. Dito isto, vejamos a proposta da CF-2023 no </w:t>
      </w:r>
      <w:r w:rsidR="00512E93" w:rsidRPr="009939A5">
        <w:rPr>
          <w:rFonts w:ascii="Times New Roman" w:hAnsi="Times New Roman" w:cs="Times New Roman"/>
          <w:sz w:val="24"/>
          <w:szCs w:val="24"/>
        </w:rPr>
        <w:t>item</w:t>
      </w:r>
      <w:r w:rsidR="00512E93">
        <w:rPr>
          <w:rFonts w:ascii="Times New Roman" w:hAnsi="Times New Roman" w:cs="Times New Roman"/>
          <w:sz w:val="24"/>
          <w:szCs w:val="24"/>
        </w:rPr>
        <w:t xml:space="preserve"> </w:t>
      </w:r>
      <w:r w:rsidR="00512E93" w:rsidRPr="00512E9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12E93" w:rsidRPr="009939A5">
        <w:rPr>
          <w:rFonts w:ascii="Times New Roman" w:hAnsi="Times New Roman" w:cs="Times New Roman"/>
          <w:i/>
          <w:iCs/>
          <w:sz w:val="24"/>
          <w:szCs w:val="24"/>
        </w:rPr>
        <w:t>luminar</w:t>
      </w:r>
      <w:r w:rsidRPr="009939A5">
        <w:rPr>
          <w:rFonts w:ascii="Times New Roman" w:hAnsi="Times New Roman" w:cs="Times New Roman"/>
          <w:sz w:val="24"/>
          <w:szCs w:val="24"/>
        </w:rPr>
        <w:t xml:space="preserve">. </w:t>
      </w:r>
      <w:r w:rsidR="009D6767" w:rsidRPr="009939A5">
        <w:rPr>
          <w:rFonts w:ascii="Times New Roman" w:hAnsi="Times New Roman" w:cs="Times New Roman"/>
          <w:sz w:val="24"/>
          <w:szCs w:val="24"/>
        </w:rPr>
        <w:tab/>
      </w:r>
    </w:p>
    <w:p w14:paraId="71A843D8" w14:textId="6F7B3429" w:rsidR="003B72C4" w:rsidRPr="009939A5" w:rsidRDefault="009D6767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 xml:space="preserve">O primeiro parágrafo do capítulo se conclui com um 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“triste” reconhecimento, “ouvindo mais uma vez as respostas que o Senhor </w:t>
      </w:r>
      <w:r w:rsidR="005A207C" w:rsidRPr="009939A5">
        <w:rPr>
          <w:rFonts w:ascii="Times New Roman" w:hAnsi="Times New Roman" w:cs="Times New Roman"/>
          <w:i/>
          <w:iCs/>
          <w:sz w:val="24"/>
          <w:szCs w:val="24"/>
        </w:rPr>
        <w:t>já dera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 a gerações antig</w:t>
      </w:r>
      <w:r w:rsidR="00512E93">
        <w:rPr>
          <w:rFonts w:ascii="Times New Roman" w:hAnsi="Times New Roman" w:cs="Times New Roman"/>
          <w:sz w:val="24"/>
          <w:szCs w:val="24"/>
        </w:rPr>
        <w:t>a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s e que </w:t>
      </w:r>
      <w:r w:rsidR="005A207C" w:rsidRPr="009939A5">
        <w:rPr>
          <w:rFonts w:ascii="Times New Roman" w:hAnsi="Times New Roman" w:cs="Times New Roman"/>
          <w:i/>
          <w:iCs/>
          <w:sz w:val="24"/>
          <w:szCs w:val="24"/>
        </w:rPr>
        <w:t>ainda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 não foram </w:t>
      </w:r>
      <w:r w:rsidR="005A207C" w:rsidRPr="009939A5">
        <w:rPr>
          <w:rFonts w:ascii="Times New Roman" w:hAnsi="Times New Roman" w:cs="Times New Roman"/>
          <w:i/>
          <w:iCs/>
          <w:sz w:val="24"/>
          <w:szCs w:val="24"/>
        </w:rPr>
        <w:t>devidamente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 ouvidas e incorporadas à prática cotidiana de </w:t>
      </w:r>
      <w:r w:rsidR="005A207C" w:rsidRPr="009939A5">
        <w:rPr>
          <w:rFonts w:ascii="Times New Roman" w:hAnsi="Times New Roman" w:cs="Times New Roman"/>
          <w:i/>
          <w:iCs/>
          <w:sz w:val="24"/>
          <w:szCs w:val="24"/>
        </w:rPr>
        <w:t>muitos</w:t>
      </w:r>
      <w:r w:rsidR="005A207C" w:rsidRPr="009939A5">
        <w:rPr>
          <w:rFonts w:ascii="Times New Roman" w:hAnsi="Times New Roman" w:cs="Times New Roman"/>
          <w:sz w:val="24"/>
          <w:szCs w:val="24"/>
        </w:rPr>
        <w:t xml:space="preserve"> de nós” (CF, n. 114)</w:t>
      </w:r>
      <w:r w:rsidR="00512E93">
        <w:rPr>
          <w:rFonts w:ascii="Times New Roman" w:hAnsi="Times New Roman" w:cs="Times New Roman"/>
          <w:sz w:val="24"/>
          <w:szCs w:val="24"/>
        </w:rPr>
        <w:t xml:space="preserve">, </w:t>
      </w:r>
      <w:r w:rsidR="00791431" w:rsidRPr="009939A5">
        <w:rPr>
          <w:rFonts w:ascii="Times New Roman" w:hAnsi="Times New Roman" w:cs="Times New Roman"/>
          <w:sz w:val="24"/>
          <w:szCs w:val="24"/>
        </w:rPr>
        <w:t>iniciando com a constatação de que o tema da superação da fome não seja uma novidade para os crentes, pois é elemento constitutivo da história sagrada</w:t>
      </w:r>
      <w:r w:rsidR="00512E93">
        <w:rPr>
          <w:rFonts w:ascii="Times New Roman" w:hAnsi="Times New Roman" w:cs="Times New Roman"/>
          <w:sz w:val="24"/>
          <w:szCs w:val="24"/>
        </w:rPr>
        <w:t>;</w:t>
      </w:r>
      <w:r w:rsidR="00791431" w:rsidRPr="009939A5">
        <w:rPr>
          <w:rFonts w:ascii="Times New Roman" w:hAnsi="Times New Roman" w:cs="Times New Roman"/>
          <w:sz w:val="24"/>
          <w:szCs w:val="24"/>
        </w:rPr>
        <w:t xml:space="preserve"> </w:t>
      </w:r>
      <w:r w:rsidR="00512E93">
        <w:rPr>
          <w:rFonts w:ascii="Times New Roman" w:hAnsi="Times New Roman" w:cs="Times New Roman"/>
          <w:sz w:val="24"/>
          <w:szCs w:val="24"/>
        </w:rPr>
        <w:t xml:space="preserve">por isso, </w:t>
      </w:r>
      <w:r w:rsidR="00791431" w:rsidRPr="009939A5">
        <w:rPr>
          <w:rFonts w:ascii="Times New Roman" w:hAnsi="Times New Roman" w:cs="Times New Roman"/>
          <w:sz w:val="24"/>
          <w:szCs w:val="24"/>
        </w:rPr>
        <w:t xml:space="preserve">o texto-base </w:t>
      </w:r>
      <w:r w:rsidR="00512E93">
        <w:rPr>
          <w:rFonts w:ascii="Times New Roman" w:hAnsi="Times New Roman" w:cs="Times New Roman"/>
          <w:sz w:val="24"/>
          <w:szCs w:val="24"/>
        </w:rPr>
        <w:t>evoca</w:t>
      </w:r>
      <w:r w:rsidR="00791431" w:rsidRPr="009939A5">
        <w:rPr>
          <w:rFonts w:ascii="Times New Roman" w:hAnsi="Times New Roman" w:cs="Times New Roman"/>
          <w:sz w:val="24"/>
          <w:szCs w:val="24"/>
        </w:rPr>
        <w:t xml:space="preserve"> a memória do Êxodo como símbolo da compaixão de Deus diante do sofrimento humano, evento que traz o sinal da partilha, do alimento e da hospitalidade fraternidade, tudo promovido pela Aliança com Deus (Ex</w:t>
      </w:r>
      <w:r w:rsidR="003B72C4" w:rsidRPr="009939A5">
        <w:rPr>
          <w:rFonts w:ascii="Times New Roman" w:hAnsi="Times New Roman" w:cs="Times New Roman"/>
          <w:sz w:val="24"/>
          <w:szCs w:val="24"/>
        </w:rPr>
        <w:t xml:space="preserve"> 3,7; 16; 33,3; Gn 18; 1Rs 17,8ss)</w:t>
      </w:r>
      <w:r w:rsidR="00791431" w:rsidRPr="009939A5">
        <w:rPr>
          <w:rFonts w:ascii="Times New Roman" w:hAnsi="Times New Roman" w:cs="Times New Roman"/>
          <w:sz w:val="24"/>
          <w:szCs w:val="24"/>
        </w:rPr>
        <w:t xml:space="preserve">. </w:t>
      </w:r>
      <w:r w:rsidR="003B72C4" w:rsidRPr="009939A5">
        <w:rPr>
          <w:rFonts w:ascii="Times New Roman" w:hAnsi="Times New Roman" w:cs="Times New Roman"/>
          <w:sz w:val="24"/>
          <w:szCs w:val="24"/>
        </w:rPr>
        <w:t>Ainda no contexto do Antigo Testamento, o texto-base alude à tradição profética, sempre inserida na Aliança com Deus, por isso exige a solidariedade e a justiça como elementos constitutivos da fé, “a grande denúncia dos profetas dirige-se àqueles que não sabem transformar a fé professada em fé vivida [...], palavras duras são ditas contra os que não se deixam indignar diante da fome de seu tempo, preocupando-se apenas em saciar desejos próprios (cf Am 6,1-6; Ez 34) enquanto textos de grande esperança proclama a saciedade com o alimento abundante (cf. Is 55,1-3). Também os livros sapienciais manterão a coerência com o pensamento profético (cf. Sr 41-6</w:t>
      </w:r>
      <w:r w:rsidR="00AB0AF7" w:rsidRPr="009939A5">
        <w:rPr>
          <w:rFonts w:ascii="Times New Roman" w:hAnsi="Times New Roman" w:cs="Times New Roman"/>
          <w:sz w:val="24"/>
          <w:szCs w:val="24"/>
        </w:rPr>
        <w:t xml:space="preserve">; 34,25-27)” (CF, n. 120). </w:t>
      </w:r>
      <w:r w:rsidR="008D35F6" w:rsidRPr="009939A5">
        <w:rPr>
          <w:rFonts w:ascii="Times New Roman" w:hAnsi="Times New Roman" w:cs="Times New Roman"/>
          <w:sz w:val="24"/>
          <w:szCs w:val="24"/>
        </w:rPr>
        <w:t xml:space="preserve">A CF-23, então, retoma a preciosa memória veterotestamentária como luzeiro a guiar a comunidade dos crentes para a fidelidade ao Deus da Aliança. </w:t>
      </w:r>
    </w:p>
    <w:p w14:paraId="26EA40D4" w14:textId="46F2CAD9" w:rsidR="008D35F6" w:rsidRPr="009939A5" w:rsidRDefault="008D35F6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 xml:space="preserve">Ao olhar </w:t>
      </w:r>
      <w:r w:rsidR="00512E93">
        <w:rPr>
          <w:rFonts w:ascii="Times New Roman" w:hAnsi="Times New Roman" w:cs="Times New Roman"/>
          <w:sz w:val="24"/>
          <w:szCs w:val="24"/>
        </w:rPr>
        <w:t xml:space="preserve">para </w:t>
      </w:r>
      <w:r w:rsidRPr="009939A5">
        <w:rPr>
          <w:rFonts w:ascii="Times New Roman" w:hAnsi="Times New Roman" w:cs="Times New Roman"/>
          <w:sz w:val="24"/>
          <w:szCs w:val="24"/>
        </w:rPr>
        <w:t>o Novo Testamento, o texto-base reconhece que “</w:t>
      </w:r>
      <w:r w:rsidR="00C3512F" w:rsidRPr="009939A5">
        <w:rPr>
          <w:rFonts w:ascii="Times New Roman" w:hAnsi="Times New Roman" w:cs="Times New Roman"/>
          <w:sz w:val="24"/>
          <w:szCs w:val="24"/>
        </w:rPr>
        <w:t xml:space="preserve">a atuação de Jesus [...] transparecem a coerência com o Antigo Testamento em sua predileção pelos famintos” (CF, n. 121), ou seja, </w:t>
      </w:r>
      <w:r w:rsidR="001A721E" w:rsidRPr="009939A5">
        <w:rPr>
          <w:rFonts w:ascii="Times New Roman" w:hAnsi="Times New Roman" w:cs="Times New Roman"/>
          <w:sz w:val="24"/>
          <w:szCs w:val="24"/>
        </w:rPr>
        <w:t xml:space="preserve">Jesus de Nazaré, o Cristo, é marcado pela fidelidade a </w:t>
      </w:r>
      <w:r w:rsidR="001A721E" w:rsidRPr="009939A5">
        <w:rPr>
          <w:rFonts w:ascii="Times New Roman" w:hAnsi="Times New Roman" w:cs="Times New Roman"/>
          <w:sz w:val="24"/>
          <w:szCs w:val="24"/>
        </w:rPr>
        <w:lastRenderedPageBreak/>
        <w:t>Aliança, levando-a ao pleno cumprimento</w:t>
      </w:r>
      <w:r w:rsidR="00D34E9F">
        <w:rPr>
          <w:rFonts w:ascii="Times New Roman" w:hAnsi="Times New Roman" w:cs="Times New Roman"/>
          <w:sz w:val="24"/>
          <w:szCs w:val="24"/>
        </w:rPr>
        <w:t xml:space="preserve"> (DV n. 4) </w:t>
      </w:r>
      <w:r w:rsidR="001A721E" w:rsidRPr="009939A5">
        <w:rPr>
          <w:rFonts w:ascii="Times New Roman" w:hAnsi="Times New Roman" w:cs="Times New Roman"/>
          <w:sz w:val="24"/>
          <w:szCs w:val="24"/>
        </w:rPr>
        <w:t xml:space="preserve">. Por isso, a ação da Eucaristia, entrega mesmo de Jesus, é uma alusão </w:t>
      </w:r>
      <w:r w:rsidR="00D607B9" w:rsidRPr="009939A5">
        <w:rPr>
          <w:rFonts w:ascii="Times New Roman" w:hAnsi="Times New Roman" w:cs="Times New Roman"/>
          <w:sz w:val="24"/>
          <w:szCs w:val="24"/>
        </w:rPr>
        <w:t xml:space="preserve">viva da relação entre a fé professada e a fé vivida. Um testemunho dessa relação é o relato mais antigo, em 1Cor 11,17-34, e recolhido pelo texto-base, “a preocupação expressa por Paulo reside naqueles que insistem em celebrar a Eucaristia sem se comprometer com amor mútuo ou com as necessidades práticas e objetivas de cada um. Os v. 20-21 deixam claro que a despreocupação com as necessidades alheias invalida o reto propósito da celebração da Ceia e, dentre tais necessidades, a mais elevada é a fome” (CF, n. 123). A Eucaristia se vincula diretamente à fé em Deus e a compaixão com os irmãos, sobretudo aos que têm fome, deste modo, a comunidade dos discípulos de Jesus aprende desde cedo que “a misericórdia e o amor cristãos impelem, portanto, à partilha do muito e também à partilha do pouco” (CF, n. 127). </w:t>
      </w:r>
    </w:p>
    <w:p w14:paraId="372E0956" w14:textId="5E101FD7" w:rsidR="00D607B9" w:rsidRPr="009939A5" w:rsidRDefault="00D607B9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>Uma das saídas de nosso tempo diante da fome são a polarização e a indiferença. No tocante à indiferença, o texto-base recorre à imagem de Caim, que responde a Deus</w:t>
      </w:r>
      <w:r w:rsidR="00D34E9F">
        <w:rPr>
          <w:rFonts w:ascii="Times New Roman" w:hAnsi="Times New Roman" w:cs="Times New Roman"/>
          <w:sz w:val="24"/>
          <w:szCs w:val="24"/>
        </w:rPr>
        <w:t>:</w:t>
      </w:r>
      <w:r w:rsidRPr="009939A5">
        <w:rPr>
          <w:rFonts w:ascii="Times New Roman" w:hAnsi="Times New Roman" w:cs="Times New Roman"/>
          <w:sz w:val="24"/>
          <w:szCs w:val="24"/>
        </w:rPr>
        <w:t xml:space="preserve"> “não sei. Acaso sou guarda do meu irmão?</w:t>
      </w:r>
      <w:r w:rsidR="000E235E" w:rsidRPr="009939A5">
        <w:rPr>
          <w:rFonts w:ascii="Times New Roman" w:hAnsi="Times New Roman" w:cs="Times New Roman"/>
          <w:sz w:val="24"/>
          <w:szCs w:val="24"/>
        </w:rPr>
        <w:t xml:space="preserve">” (Gn 4,9). </w:t>
      </w:r>
      <w:r w:rsidR="005351F2" w:rsidRPr="009939A5">
        <w:rPr>
          <w:rFonts w:ascii="Times New Roman" w:hAnsi="Times New Roman" w:cs="Times New Roman"/>
          <w:sz w:val="24"/>
          <w:szCs w:val="24"/>
        </w:rPr>
        <w:t xml:space="preserve">O texto expõe que “à indiferença, portanto, Jesus contrapõe a responsabilidade fraterna [...]. Ao multiplicar e oferecer o pão, Jesus cria um paradigma antagônico a Caim e, ao discípulo, resta uma escolha: a sensibilidade profética que age para suprir as necessidades do outro é o fundamento da ação ensinada por Jesus. Mas quem age com passividade [indiferença ou negação] diante da fome constatada une sua </w:t>
      </w:r>
      <w:r w:rsidR="00D34E9F">
        <w:rPr>
          <w:rFonts w:ascii="Times New Roman" w:hAnsi="Times New Roman" w:cs="Times New Roman"/>
          <w:sz w:val="24"/>
          <w:szCs w:val="24"/>
        </w:rPr>
        <w:t xml:space="preserve">voz </w:t>
      </w:r>
      <w:r w:rsidR="005351F2" w:rsidRPr="009939A5">
        <w:rPr>
          <w:rFonts w:ascii="Times New Roman" w:hAnsi="Times New Roman" w:cs="Times New Roman"/>
          <w:sz w:val="24"/>
          <w:szCs w:val="24"/>
        </w:rPr>
        <w:t xml:space="preserve">à de Caim” (CF, n. 134), ou seja, Cristo supera o modelo social cainesco, onde o irmão odeia, mata e se porta indiferente à dor do outro; a sociedade de Jesus é capaz da compaixão, da solidariedade e da justiça. </w:t>
      </w:r>
    </w:p>
    <w:p w14:paraId="445E1C92" w14:textId="2FF3E2C7" w:rsidR="005351F2" w:rsidRPr="009939A5" w:rsidRDefault="005351F2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>Ao se deter no</w:t>
      </w:r>
      <w:r w:rsidR="0017131E" w:rsidRPr="009939A5">
        <w:rPr>
          <w:rFonts w:ascii="Times New Roman" w:hAnsi="Times New Roman" w:cs="Times New Roman"/>
          <w:sz w:val="24"/>
          <w:szCs w:val="24"/>
        </w:rPr>
        <w:t xml:space="preserve"> lema da CF, o texto da CNBB alude à imagem do Novo Moisés e desdobra-se numa normativa que envolve a todos que creem em Jesus, </w:t>
      </w:r>
      <w:r w:rsidR="00D34E9F">
        <w:rPr>
          <w:rFonts w:ascii="Times New Roman" w:hAnsi="Times New Roman" w:cs="Times New Roman"/>
          <w:sz w:val="24"/>
          <w:szCs w:val="24"/>
        </w:rPr>
        <w:t>pela</w:t>
      </w:r>
      <w:r w:rsidR="0017131E" w:rsidRPr="009939A5">
        <w:rPr>
          <w:rFonts w:ascii="Times New Roman" w:hAnsi="Times New Roman" w:cs="Times New Roman"/>
          <w:sz w:val="24"/>
          <w:szCs w:val="24"/>
        </w:rPr>
        <w:t xml:space="preserve"> corresponsabilidade na superação da fome: </w:t>
      </w:r>
      <w:r w:rsidR="0017131E" w:rsidRPr="009939A5">
        <w:rPr>
          <w:rFonts w:ascii="Times New Roman" w:hAnsi="Times New Roman" w:cs="Times New Roman"/>
          <w:i/>
          <w:iCs/>
          <w:sz w:val="24"/>
          <w:szCs w:val="24"/>
        </w:rPr>
        <w:t>dai-lhes vós mesmos de comer</w:t>
      </w:r>
      <w:r w:rsidR="0017131E" w:rsidRPr="009939A5">
        <w:rPr>
          <w:rFonts w:ascii="Times New Roman" w:hAnsi="Times New Roman" w:cs="Times New Roman"/>
          <w:sz w:val="24"/>
          <w:szCs w:val="24"/>
        </w:rPr>
        <w:t xml:space="preserve">. </w:t>
      </w:r>
      <w:r w:rsidR="00B91379" w:rsidRPr="009939A5">
        <w:rPr>
          <w:rFonts w:ascii="Times New Roman" w:hAnsi="Times New Roman" w:cs="Times New Roman"/>
          <w:sz w:val="24"/>
          <w:szCs w:val="24"/>
        </w:rPr>
        <w:t>Por isso</w:t>
      </w:r>
      <w:r w:rsidR="00D34E9F">
        <w:rPr>
          <w:rFonts w:ascii="Times New Roman" w:hAnsi="Times New Roman" w:cs="Times New Roman"/>
          <w:sz w:val="24"/>
          <w:szCs w:val="24"/>
        </w:rPr>
        <w:t>,</w:t>
      </w:r>
      <w:r w:rsidR="00B91379" w:rsidRPr="009939A5">
        <w:rPr>
          <w:rFonts w:ascii="Times New Roman" w:hAnsi="Times New Roman" w:cs="Times New Roman"/>
          <w:sz w:val="24"/>
          <w:szCs w:val="24"/>
        </w:rPr>
        <w:t xml:space="preserve"> a “Quaresma</w:t>
      </w:r>
      <w:r w:rsidR="002E5EB7" w:rsidRPr="009939A5">
        <w:rPr>
          <w:rFonts w:ascii="Times New Roman" w:hAnsi="Times New Roman" w:cs="Times New Roman"/>
          <w:sz w:val="24"/>
          <w:szCs w:val="24"/>
        </w:rPr>
        <w:t xml:space="preserve"> é ocasião não para vivermos uma grande mortificação sem objetivos, mas para deixar que nosso coração seja provado pelas circunstâncias que enfrentamos” (CF, N. 137), especialmente a fome a que muitos irmãos e irmãs estão submetidos. </w:t>
      </w:r>
      <w:r w:rsidR="00AD2503" w:rsidRPr="009939A5">
        <w:rPr>
          <w:rFonts w:ascii="Times New Roman" w:hAnsi="Times New Roman" w:cs="Times New Roman"/>
          <w:sz w:val="24"/>
          <w:szCs w:val="24"/>
        </w:rPr>
        <w:t>Passando pela tipologia de Eliseu, o texto-base faz mais demoradamente a vinculação entre Eucaristia e a partilha dos pães em Mt 14</w:t>
      </w:r>
      <w:r w:rsidR="00D34E9F">
        <w:rPr>
          <w:rFonts w:ascii="Times New Roman" w:hAnsi="Times New Roman" w:cs="Times New Roman"/>
          <w:sz w:val="24"/>
          <w:szCs w:val="24"/>
        </w:rPr>
        <w:t>:</w:t>
      </w:r>
      <w:r w:rsidR="00AD2503" w:rsidRPr="009939A5">
        <w:rPr>
          <w:rFonts w:ascii="Times New Roman" w:hAnsi="Times New Roman" w:cs="Times New Roman"/>
          <w:sz w:val="24"/>
          <w:szCs w:val="24"/>
        </w:rPr>
        <w:t xml:space="preserve"> “Jesus acresce ao compromisso de repartir e distribuir a Eucaristia a responsabilidade pela fome dos irmãos, compromisso sobre as necessidades mútuas” (CF, n. 144). </w:t>
      </w:r>
    </w:p>
    <w:p w14:paraId="15E1DE3D" w14:textId="2AEA12F4" w:rsidR="003D68FE" w:rsidRPr="009939A5" w:rsidRDefault="00AD2503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  <w:t xml:space="preserve">Além do testemunho bíblico, desde o Antigo Testamento e vida de Jesus Cristo e sua comunidade, o texto evoca a Tradição e o Magistério para iluminar nosso olhar sobre o problema da fome. </w:t>
      </w:r>
      <w:r w:rsidR="008C1C41">
        <w:rPr>
          <w:rFonts w:ascii="Times New Roman" w:hAnsi="Times New Roman" w:cs="Times New Roman"/>
          <w:sz w:val="24"/>
          <w:szCs w:val="24"/>
        </w:rPr>
        <w:t>Entre os</w:t>
      </w:r>
      <w:r w:rsidRPr="009939A5">
        <w:rPr>
          <w:rFonts w:ascii="Times New Roman" w:hAnsi="Times New Roman" w:cs="Times New Roman"/>
          <w:sz w:val="24"/>
          <w:szCs w:val="24"/>
        </w:rPr>
        <w:t xml:space="preserve"> Padre</w:t>
      </w:r>
      <w:r w:rsidR="003D68FE" w:rsidRPr="009939A5">
        <w:rPr>
          <w:rFonts w:ascii="Times New Roman" w:hAnsi="Times New Roman" w:cs="Times New Roman"/>
          <w:sz w:val="24"/>
          <w:szCs w:val="24"/>
        </w:rPr>
        <w:t>s</w:t>
      </w:r>
      <w:r w:rsidRPr="009939A5">
        <w:rPr>
          <w:rFonts w:ascii="Times New Roman" w:hAnsi="Times New Roman" w:cs="Times New Roman"/>
          <w:sz w:val="24"/>
          <w:szCs w:val="24"/>
        </w:rPr>
        <w:t xml:space="preserve"> da Igreja </w:t>
      </w:r>
      <w:r w:rsidR="008C1C41">
        <w:rPr>
          <w:rFonts w:ascii="Times New Roman" w:hAnsi="Times New Roman" w:cs="Times New Roman"/>
          <w:sz w:val="24"/>
          <w:szCs w:val="24"/>
        </w:rPr>
        <w:t>são mais</w:t>
      </w:r>
      <w:r w:rsidR="003D68FE" w:rsidRPr="009939A5">
        <w:rPr>
          <w:rFonts w:ascii="Times New Roman" w:hAnsi="Times New Roman" w:cs="Times New Roman"/>
          <w:sz w:val="24"/>
          <w:szCs w:val="24"/>
        </w:rPr>
        <w:t xml:space="preserve"> citados </w:t>
      </w:r>
      <w:r w:rsidR="008C1C41">
        <w:rPr>
          <w:rFonts w:ascii="Times New Roman" w:hAnsi="Times New Roman" w:cs="Times New Roman"/>
          <w:sz w:val="24"/>
          <w:szCs w:val="24"/>
        </w:rPr>
        <w:t>S</w:t>
      </w:r>
      <w:r w:rsidR="003D68FE" w:rsidRPr="009939A5">
        <w:rPr>
          <w:rFonts w:ascii="Times New Roman" w:hAnsi="Times New Roman" w:cs="Times New Roman"/>
          <w:sz w:val="24"/>
          <w:szCs w:val="24"/>
        </w:rPr>
        <w:t xml:space="preserve">ão Jerônimo e </w:t>
      </w:r>
      <w:r w:rsidR="008C1C41">
        <w:rPr>
          <w:rFonts w:ascii="Times New Roman" w:hAnsi="Times New Roman" w:cs="Times New Roman"/>
          <w:sz w:val="24"/>
          <w:szCs w:val="24"/>
        </w:rPr>
        <w:t xml:space="preserve">São </w:t>
      </w:r>
      <w:r w:rsidR="003D68FE" w:rsidRPr="009939A5">
        <w:rPr>
          <w:rFonts w:ascii="Times New Roman" w:hAnsi="Times New Roman" w:cs="Times New Roman"/>
          <w:sz w:val="24"/>
          <w:szCs w:val="24"/>
        </w:rPr>
        <w:t xml:space="preserve">João Crisóstomo, com locuções densamente evangélicas, diz </w:t>
      </w:r>
      <w:r w:rsidR="008C1C41">
        <w:rPr>
          <w:rFonts w:ascii="Times New Roman" w:hAnsi="Times New Roman" w:cs="Times New Roman"/>
          <w:sz w:val="24"/>
          <w:szCs w:val="24"/>
        </w:rPr>
        <w:t xml:space="preserve">São </w:t>
      </w:r>
      <w:r w:rsidR="003D68FE" w:rsidRPr="009939A5">
        <w:rPr>
          <w:rFonts w:ascii="Times New Roman" w:hAnsi="Times New Roman" w:cs="Times New Roman"/>
          <w:sz w:val="24"/>
          <w:szCs w:val="24"/>
        </w:rPr>
        <w:t>João Crisóstomo “queres honrar o Corpo de Cristo? Então não o desprezes nos seus membros, isto é, nos pobres que não têm que vestir, nem o honres no templo com vestes de seda, enquanto o abandonas lá fora ao frio e à nudez. Aquele que disse: ‘Isto é meu corpo’ (Mt 26,26), e o realizou ao dizê-lo, é o mesmo que disse: ‘porque tive fome e não me destes de comer’ (cf Mt 25</w:t>
      </w:r>
      <w:r w:rsidR="00237F28" w:rsidRPr="009939A5">
        <w:rPr>
          <w:rFonts w:ascii="Times New Roman" w:hAnsi="Times New Roman" w:cs="Times New Roman"/>
          <w:sz w:val="24"/>
          <w:szCs w:val="24"/>
        </w:rPr>
        <w:t xml:space="preserve">,42); e também: sempre que deixastes de fazer isto a um destes pequeninos, foi a mim que o deixastes de fazer (Mt 25,45). (...) Que proveito resulta de a mesa de Cristo estar coberta de taças de ouro, se ele morre de fome na pessoa dos pobres? </w:t>
      </w:r>
      <w:proofErr w:type="gramStart"/>
      <w:r w:rsidR="00237F28" w:rsidRPr="009939A5">
        <w:rPr>
          <w:rFonts w:ascii="Times New Roman" w:hAnsi="Times New Roman" w:cs="Times New Roman"/>
          <w:sz w:val="24"/>
          <w:szCs w:val="24"/>
        </w:rPr>
        <w:t>[...]</w:t>
      </w:r>
      <w:proofErr w:type="gramEnd"/>
      <w:r w:rsidR="00237F28" w:rsidRPr="009939A5">
        <w:rPr>
          <w:rFonts w:ascii="Times New Roman" w:hAnsi="Times New Roman" w:cs="Times New Roman"/>
          <w:sz w:val="24"/>
          <w:szCs w:val="24"/>
        </w:rPr>
        <w:t xml:space="preserve"> por conseguinte, enquanto adornas a casa do Senhor, não deixes o teu irmão na miséria, pois ele é um templo e de todos o mais precioso” (CF, n. 149). </w:t>
      </w:r>
      <w:r w:rsidR="008656B9" w:rsidRPr="009939A5">
        <w:rPr>
          <w:rFonts w:ascii="Times New Roman" w:hAnsi="Times New Roman" w:cs="Times New Roman"/>
          <w:sz w:val="24"/>
          <w:szCs w:val="24"/>
        </w:rPr>
        <w:t xml:space="preserve">Ao lado da citação de São João Crisóstomo, são feitas retomadas do Magistério dos Papas, especialmente Bento XVI e </w:t>
      </w:r>
      <w:r w:rsidR="008656B9" w:rsidRPr="009939A5">
        <w:rPr>
          <w:rFonts w:ascii="Times New Roman" w:hAnsi="Times New Roman" w:cs="Times New Roman"/>
          <w:sz w:val="24"/>
          <w:szCs w:val="24"/>
        </w:rPr>
        <w:lastRenderedPageBreak/>
        <w:t xml:space="preserve">Francisco, demonstrando a continuidade e o frescor do tema, iluminando-nos na direção da fidelidade a Cristo. </w:t>
      </w:r>
    </w:p>
    <w:p w14:paraId="3C5C0C97" w14:textId="212F509F" w:rsidR="008656B9" w:rsidRPr="009939A5" w:rsidRDefault="008656B9" w:rsidP="00AF26E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ab/>
      </w:r>
      <w:r w:rsidRPr="004378D5">
        <w:rPr>
          <w:rFonts w:ascii="Times New Roman" w:hAnsi="Times New Roman" w:cs="Times New Roman"/>
          <w:sz w:val="24"/>
          <w:szCs w:val="24"/>
        </w:rPr>
        <w:t xml:space="preserve">Por fim, </w:t>
      </w:r>
      <w:r w:rsidR="004520B0" w:rsidRPr="004378D5">
        <w:rPr>
          <w:rFonts w:ascii="Times New Roman" w:hAnsi="Times New Roman" w:cs="Times New Roman"/>
          <w:sz w:val="24"/>
          <w:szCs w:val="24"/>
        </w:rPr>
        <w:t xml:space="preserve">após olharmos o Documento 69 e </w:t>
      </w:r>
      <w:r w:rsidRPr="004378D5">
        <w:rPr>
          <w:rFonts w:ascii="Times New Roman" w:hAnsi="Times New Roman" w:cs="Times New Roman"/>
          <w:sz w:val="24"/>
          <w:szCs w:val="24"/>
        </w:rPr>
        <w:t xml:space="preserve">o capítulo </w:t>
      </w:r>
      <w:r w:rsidRPr="004378D5">
        <w:rPr>
          <w:rFonts w:ascii="Times New Roman" w:hAnsi="Times New Roman" w:cs="Times New Roman"/>
          <w:i/>
          <w:iCs/>
          <w:sz w:val="24"/>
          <w:szCs w:val="24"/>
        </w:rPr>
        <w:t>Iluminar</w:t>
      </w:r>
      <w:r w:rsidR="004378D5" w:rsidRPr="004378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378D5">
        <w:rPr>
          <w:rFonts w:ascii="Times New Roman" w:hAnsi="Times New Roman" w:cs="Times New Roman"/>
          <w:sz w:val="24"/>
          <w:szCs w:val="24"/>
        </w:rPr>
        <w:t xml:space="preserve"> do texto-base da Campanha da Fraternidade</w:t>
      </w:r>
      <w:r w:rsidR="004378D5" w:rsidRPr="004378D5">
        <w:rPr>
          <w:rFonts w:ascii="Times New Roman" w:hAnsi="Times New Roman" w:cs="Times New Roman"/>
          <w:sz w:val="24"/>
          <w:szCs w:val="24"/>
        </w:rPr>
        <w:t>, vemos</w:t>
      </w:r>
      <w:r w:rsidRPr="004378D5">
        <w:rPr>
          <w:rFonts w:ascii="Times New Roman" w:hAnsi="Times New Roman" w:cs="Times New Roman"/>
          <w:sz w:val="24"/>
          <w:szCs w:val="24"/>
        </w:rPr>
        <w:t xml:space="preserve"> </w:t>
      </w:r>
      <w:r w:rsidR="004520B0" w:rsidRPr="004378D5">
        <w:rPr>
          <w:rFonts w:ascii="Times New Roman" w:hAnsi="Times New Roman" w:cs="Times New Roman"/>
          <w:sz w:val="24"/>
          <w:szCs w:val="24"/>
        </w:rPr>
        <w:t xml:space="preserve">que </w:t>
      </w:r>
      <w:r w:rsidRPr="004378D5">
        <w:rPr>
          <w:rFonts w:ascii="Times New Roman" w:hAnsi="Times New Roman" w:cs="Times New Roman"/>
          <w:sz w:val="24"/>
          <w:szCs w:val="24"/>
        </w:rPr>
        <w:t>põe</w:t>
      </w:r>
      <w:r w:rsidR="004520B0" w:rsidRPr="004378D5">
        <w:rPr>
          <w:rFonts w:ascii="Times New Roman" w:hAnsi="Times New Roman" w:cs="Times New Roman"/>
          <w:sz w:val="24"/>
          <w:szCs w:val="24"/>
        </w:rPr>
        <w:t>m</w:t>
      </w:r>
      <w:r w:rsidRPr="004378D5">
        <w:rPr>
          <w:rFonts w:ascii="Times New Roman" w:hAnsi="Times New Roman" w:cs="Times New Roman"/>
          <w:sz w:val="24"/>
          <w:szCs w:val="24"/>
        </w:rPr>
        <w:t xml:space="preserve"> em relevo que a promoção integral da vida humana</w:t>
      </w:r>
      <w:r w:rsidR="004378D5" w:rsidRPr="004378D5">
        <w:rPr>
          <w:rFonts w:ascii="Times New Roman" w:hAnsi="Times New Roman" w:cs="Times New Roman"/>
          <w:sz w:val="24"/>
          <w:szCs w:val="24"/>
        </w:rPr>
        <w:t xml:space="preserve"> e, especialmente,</w:t>
      </w:r>
      <w:r w:rsidRPr="004378D5">
        <w:rPr>
          <w:rFonts w:ascii="Times New Roman" w:hAnsi="Times New Roman" w:cs="Times New Roman"/>
          <w:sz w:val="24"/>
          <w:szCs w:val="24"/>
        </w:rPr>
        <w:t xml:space="preserve"> a superação d</w:t>
      </w:r>
      <w:r w:rsidR="004520B0" w:rsidRPr="004378D5">
        <w:rPr>
          <w:rFonts w:ascii="Times New Roman" w:hAnsi="Times New Roman" w:cs="Times New Roman"/>
          <w:sz w:val="24"/>
          <w:szCs w:val="24"/>
        </w:rPr>
        <w:t>o</w:t>
      </w:r>
      <w:r w:rsidRPr="004378D5">
        <w:rPr>
          <w:rFonts w:ascii="Times New Roman" w:hAnsi="Times New Roman" w:cs="Times New Roman"/>
          <w:sz w:val="24"/>
          <w:szCs w:val="24"/>
        </w:rPr>
        <w:t xml:space="preserve"> doloros</w:t>
      </w:r>
      <w:r w:rsidR="004520B0" w:rsidRPr="004378D5">
        <w:rPr>
          <w:rFonts w:ascii="Times New Roman" w:hAnsi="Times New Roman" w:cs="Times New Roman"/>
          <w:sz w:val="24"/>
          <w:szCs w:val="24"/>
        </w:rPr>
        <w:t>o</w:t>
      </w:r>
      <w:r w:rsidRPr="004378D5">
        <w:rPr>
          <w:rFonts w:ascii="Times New Roman" w:hAnsi="Times New Roman" w:cs="Times New Roman"/>
          <w:sz w:val="24"/>
          <w:szCs w:val="24"/>
        </w:rPr>
        <w:t xml:space="preserve"> problema da fome</w:t>
      </w:r>
      <w:r w:rsidR="004378D5" w:rsidRPr="004378D5">
        <w:rPr>
          <w:rFonts w:ascii="Times New Roman" w:hAnsi="Times New Roman" w:cs="Times New Roman"/>
          <w:sz w:val="24"/>
          <w:szCs w:val="24"/>
        </w:rPr>
        <w:t>,</w:t>
      </w:r>
      <w:r w:rsidRPr="004378D5">
        <w:rPr>
          <w:rFonts w:ascii="Times New Roman" w:hAnsi="Times New Roman" w:cs="Times New Roman"/>
          <w:sz w:val="24"/>
          <w:szCs w:val="24"/>
        </w:rPr>
        <w:t xml:space="preserve"> </w:t>
      </w:r>
      <w:r w:rsidR="004378D5" w:rsidRPr="004378D5">
        <w:rPr>
          <w:rFonts w:ascii="Times New Roman" w:hAnsi="Times New Roman" w:cs="Times New Roman"/>
          <w:sz w:val="24"/>
          <w:szCs w:val="24"/>
        </w:rPr>
        <w:t>é</w:t>
      </w:r>
      <w:r w:rsidRPr="004378D5">
        <w:rPr>
          <w:rFonts w:ascii="Times New Roman" w:hAnsi="Times New Roman" w:cs="Times New Roman"/>
          <w:sz w:val="24"/>
          <w:szCs w:val="24"/>
        </w:rPr>
        <w:t xml:space="preserve"> uma exigência da ética judaico-cristã, </w:t>
      </w:r>
      <w:r w:rsidR="004378D5" w:rsidRPr="004378D5">
        <w:rPr>
          <w:rFonts w:ascii="Times New Roman" w:hAnsi="Times New Roman" w:cs="Times New Roman"/>
          <w:sz w:val="24"/>
          <w:szCs w:val="24"/>
        </w:rPr>
        <w:t xml:space="preserve">que </w:t>
      </w:r>
      <w:r w:rsidRPr="004378D5">
        <w:rPr>
          <w:rFonts w:ascii="Times New Roman" w:hAnsi="Times New Roman" w:cs="Times New Roman"/>
          <w:sz w:val="24"/>
          <w:szCs w:val="24"/>
        </w:rPr>
        <w:t xml:space="preserve">tem suas raízes </w:t>
      </w:r>
      <w:r w:rsidR="004378D5" w:rsidRPr="004378D5">
        <w:rPr>
          <w:rFonts w:ascii="Times New Roman" w:hAnsi="Times New Roman" w:cs="Times New Roman"/>
          <w:sz w:val="24"/>
          <w:szCs w:val="24"/>
        </w:rPr>
        <w:t>n</w:t>
      </w:r>
      <w:r w:rsidRPr="004378D5">
        <w:rPr>
          <w:rFonts w:ascii="Times New Roman" w:hAnsi="Times New Roman" w:cs="Times New Roman"/>
          <w:sz w:val="24"/>
          <w:szCs w:val="24"/>
        </w:rPr>
        <w:t xml:space="preserve">a </w:t>
      </w:r>
      <w:r w:rsidR="008C1C41">
        <w:rPr>
          <w:rFonts w:ascii="Times New Roman" w:hAnsi="Times New Roman" w:cs="Times New Roman"/>
          <w:sz w:val="24"/>
          <w:szCs w:val="24"/>
        </w:rPr>
        <w:t>H</w:t>
      </w:r>
      <w:r w:rsidRPr="004378D5">
        <w:rPr>
          <w:rFonts w:ascii="Times New Roman" w:hAnsi="Times New Roman" w:cs="Times New Roman"/>
          <w:sz w:val="24"/>
          <w:szCs w:val="24"/>
        </w:rPr>
        <w:t xml:space="preserve">istória da </w:t>
      </w:r>
      <w:r w:rsidR="008C1C41">
        <w:rPr>
          <w:rFonts w:ascii="Times New Roman" w:hAnsi="Times New Roman" w:cs="Times New Roman"/>
          <w:sz w:val="24"/>
          <w:szCs w:val="24"/>
        </w:rPr>
        <w:t>S</w:t>
      </w:r>
      <w:r w:rsidRPr="004378D5">
        <w:rPr>
          <w:rFonts w:ascii="Times New Roman" w:hAnsi="Times New Roman" w:cs="Times New Roman"/>
          <w:sz w:val="24"/>
          <w:szCs w:val="24"/>
        </w:rPr>
        <w:t xml:space="preserve">alvação, com seu ápice na pessoa de </w:t>
      </w:r>
      <w:r w:rsidRPr="009939A5">
        <w:rPr>
          <w:rFonts w:ascii="Times New Roman" w:hAnsi="Times New Roman" w:cs="Times New Roman"/>
          <w:sz w:val="24"/>
          <w:szCs w:val="24"/>
        </w:rPr>
        <w:t>Jesus Cristo, que age com compaixão e misericórdia e, ao mesmo tempo</w:t>
      </w:r>
      <w:r w:rsidR="004378D5">
        <w:rPr>
          <w:rFonts w:ascii="Times New Roman" w:hAnsi="Times New Roman" w:cs="Times New Roman"/>
          <w:sz w:val="24"/>
          <w:szCs w:val="24"/>
        </w:rPr>
        <w:t>,</w:t>
      </w:r>
      <w:r w:rsidRPr="009939A5">
        <w:rPr>
          <w:rFonts w:ascii="Times New Roman" w:hAnsi="Times New Roman" w:cs="Times New Roman"/>
          <w:sz w:val="24"/>
          <w:szCs w:val="24"/>
        </w:rPr>
        <w:t xml:space="preserve"> co</w:t>
      </w:r>
      <w:r w:rsidR="004378D5">
        <w:rPr>
          <w:rFonts w:ascii="Times New Roman" w:hAnsi="Times New Roman" w:cs="Times New Roman"/>
          <w:sz w:val="24"/>
          <w:szCs w:val="24"/>
        </w:rPr>
        <w:t>r</w:t>
      </w:r>
      <w:r w:rsidRPr="009939A5">
        <w:rPr>
          <w:rFonts w:ascii="Times New Roman" w:hAnsi="Times New Roman" w:cs="Times New Roman"/>
          <w:sz w:val="24"/>
          <w:szCs w:val="24"/>
        </w:rPr>
        <w:t xml:space="preserve">responsabiliza sua comunidade nessa ação, convidando-a a se comprometer na partilha dos bens com os necessitados e na promoção integral da vida humana. </w:t>
      </w:r>
      <w:r w:rsidR="008C1C41">
        <w:rPr>
          <w:rFonts w:ascii="Times New Roman" w:hAnsi="Times New Roman" w:cs="Times New Roman"/>
          <w:sz w:val="24"/>
          <w:szCs w:val="24"/>
        </w:rPr>
        <w:t>Ao</w:t>
      </w:r>
      <w:r w:rsidRPr="009939A5">
        <w:rPr>
          <w:rFonts w:ascii="Times New Roman" w:hAnsi="Times New Roman" w:cs="Times New Roman"/>
          <w:sz w:val="24"/>
          <w:szCs w:val="24"/>
        </w:rPr>
        <w:t xml:space="preserve"> fim, encerramos citando o Santo Padre, o Papa Francisco, que fala dentro da larga Tradição dos discípulos de Cristo: “não podes partir Pão do domingo, se o teu coração estiver fechado </w:t>
      </w:r>
      <w:r w:rsidR="004378D5">
        <w:rPr>
          <w:rFonts w:ascii="Times New Roman" w:hAnsi="Times New Roman" w:cs="Times New Roman"/>
          <w:sz w:val="24"/>
          <w:szCs w:val="24"/>
        </w:rPr>
        <w:t>a</w:t>
      </w:r>
      <w:r w:rsidRPr="009939A5">
        <w:rPr>
          <w:rFonts w:ascii="Times New Roman" w:hAnsi="Times New Roman" w:cs="Times New Roman"/>
          <w:sz w:val="24"/>
          <w:szCs w:val="24"/>
        </w:rPr>
        <w:t>os irmãos. Não podes comer este Pão, se não deres pão aos famintos</w:t>
      </w:r>
      <w:r w:rsidR="008C1C41">
        <w:rPr>
          <w:rFonts w:ascii="Times New Roman" w:hAnsi="Times New Roman" w:cs="Times New Roman"/>
          <w:sz w:val="24"/>
          <w:szCs w:val="24"/>
        </w:rPr>
        <w:t xml:space="preserve">. Não podes partilhar deste Pão, se não partilhas os sofrimentos de quem passa </w:t>
      </w:r>
      <w:r w:rsidR="000500B3">
        <w:rPr>
          <w:rFonts w:ascii="Times New Roman" w:hAnsi="Times New Roman" w:cs="Times New Roman"/>
          <w:sz w:val="24"/>
          <w:szCs w:val="24"/>
        </w:rPr>
        <w:t>necessidade</w:t>
      </w:r>
      <w:r w:rsidRPr="009939A5">
        <w:rPr>
          <w:rFonts w:ascii="Times New Roman" w:hAnsi="Times New Roman" w:cs="Times New Roman"/>
          <w:sz w:val="24"/>
          <w:szCs w:val="24"/>
        </w:rPr>
        <w:t>. No fim de tudo, inclusive das nossas solenes Liturgias Eucarístic</w:t>
      </w:r>
      <w:r w:rsidR="009939A5" w:rsidRPr="009939A5">
        <w:rPr>
          <w:rFonts w:ascii="Times New Roman" w:hAnsi="Times New Roman" w:cs="Times New Roman"/>
          <w:sz w:val="24"/>
          <w:szCs w:val="24"/>
        </w:rPr>
        <w:t>a</w:t>
      </w:r>
      <w:r w:rsidRPr="009939A5">
        <w:rPr>
          <w:rFonts w:ascii="Times New Roman" w:hAnsi="Times New Roman" w:cs="Times New Roman"/>
          <w:sz w:val="24"/>
          <w:szCs w:val="24"/>
        </w:rPr>
        <w:t xml:space="preserve">s, restará apenas o amor” (CF, n. </w:t>
      </w:r>
      <w:r w:rsidR="009939A5" w:rsidRPr="009939A5">
        <w:rPr>
          <w:rFonts w:ascii="Times New Roman" w:hAnsi="Times New Roman" w:cs="Times New Roman"/>
          <w:sz w:val="24"/>
          <w:szCs w:val="24"/>
        </w:rPr>
        <w:t xml:space="preserve">154). </w:t>
      </w:r>
    </w:p>
    <w:p w14:paraId="4A78F6C1" w14:textId="6C17A1C4" w:rsidR="009939A5" w:rsidRPr="009939A5" w:rsidRDefault="009939A5" w:rsidP="009939A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939A5">
        <w:rPr>
          <w:rFonts w:ascii="Times New Roman" w:hAnsi="Times New Roman" w:cs="Times New Roman"/>
          <w:sz w:val="24"/>
          <w:szCs w:val="24"/>
        </w:rPr>
        <w:t xml:space="preserve">Pe. Abimael F. do Nascimento. </w:t>
      </w:r>
    </w:p>
    <w:p w14:paraId="61A5C0C1" w14:textId="6B9A9845" w:rsidR="009939A5" w:rsidRDefault="009939A5" w:rsidP="009939A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Pároco da Paróquia São João Batista – Tauape</w:t>
      </w:r>
      <w:r w:rsidR="00C15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2EAF4" w14:textId="24D072F3" w:rsidR="000500B3" w:rsidRPr="009939A5" w:rsidRDefault="000500B3" w:rsidP="009939A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Fortaleza-CE</w:t>
      </w:r>
      <w:r w:rsidR="00C15E89">
        <w:rPr>
          <w:rFonts w:ascii="Times New Roman" w:hAnsi="Times New Roman" w:cs="Times New Roman"/>
          <w:sz w:val="24"/>
          <w:szCs w:val="24"/>
        </w:rPr>
        <w:t>.</w:t>
      </w:r>
    </w:p>
    <w:sectPr w:rsidR="000500B3" w:rsidRPr="009939A5" w:rsidSect="00AD250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A9"/>
    <w:rsid w:val="000500B3"/>
    <w:rsid w:val="000E235E"/>
    <w:rsid w:val="0017131E"/>
    <w:rsid w:val="001A721E"/>
    <w:rsid w:val="001B6758"/>
    <w:rsid w:val="00210A3C"/>
    <w:rsid w:val="00237F28"/>
    <w:rsid w:val="002E5EB7"/>
    <w:rsid w:val="003B72C4"/>
    <w:rsid w:val="003D68FE"/>
    <w:rsid w:val="004241EA"/>
    <w:rsid w:val="004378D5"/>
    <w:rsid w:val="004520B0"/>
    <w:rsid w:val="00512E93"/>
    <w:rsid w:val="005351F2"/>
    <w:rsid w:val="005A207C"/>
    <w:rsid w:val="005C76FF"/>
    <w:rsid w:val="007322CB"/>
    <w:rsid w:val="00791431"/>
    <w:rsid w:val="007B1503"/>
    <w:rsid w:val="008656B9"/>
    <w:rsid w:val="008C1C41"/>
    <w:rsid w:val="008D35F6"/>
    <w:rsid w:val="009939A5"/>
    <w:rsid w:val="009D6767"/>
    <w:rsid w:val="00A444C4"/>
    <w:rsid w:val="00A4552B"/>
    <w:rsid w:val="00A874D4"/>
    <w:rsid w:val="00AB0AF7"/>
    <w:rsid w:val="00AD2503"/>
    <w:rsid w:val="00AF26E8"/>
    <w:rsid w:val="00B91379"/>
    <w:rsid w:val="00C15E89"/>
    <w:rsid w:val="00C3512F"/>
    <w:rsid w:val="00C8403D"/>
    <w:rsid w:val="00CF6E9E"/>
    <w:rsid w:val="00D34E9F"/>
    <w:rsid w:val="00D607B9"/>
    <w:rsid w:val="00E153A9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21B1"/>
  <w15:chartTrackingRefBased/>
  <w15:docId w15:val="{073EAF4B-79EB-49B4-99C5-2609F880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1937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26</cp:revision>
  <dcterms:created xsi:type="dcterms:W3CDTF">2023-02-16T12:01:00Z</dcterms:created>
  <dcterms:modified xsi:type="dcterms:W3CDTF">2023-02-16T17:37:00Z</dcterms:modified>
</cp:coreProperties>
</file>